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BC" w:rsidRDefault="007514BC" w:rsidP="000C3ED0">
      <w:pPr>
        <w:pStyle w:val="NoSpacing"/>
        <w:jc w:val="center"/>
        <w:rPr>
          <w:b/>
          <w:sz w:val="28"/>
        </w:rPr>
      </w:pPr>
    </w:p>
    <w:p w:rsidR="002D0517" w:rsidRPr="000C3ED0" w:rsidRDefault="000B3380" w:rsidP="000C3ED0">
      <w:pPr>
        <w:pStyle w:val="NoSpacing"/>
        <w:jc w:val="center"/>
        <w:rPr>
          <w:b/>
          <w:sz w:val="28"/>
        </w:rPr>
      </w:pPr>
      <w:r w:rsidRPr="000C3ED0">
        <w:rPr>
          <w:b/>
          <w:sz w:val="28"/>
        </w:rPr>
        <w:t>EO on Climate Resilient International Development</w:t>
      </w:r>
    </w:p>
    <w:p w:rsidR="000B3380" w:rsidRPr="000C3ED0" w:rsidRDefault="000B3380" w:rsidP="000C3ED0">
      <w:pPr>
        <w:pStyle w:val="NoSpacing"/>
        <w:jc w:val="center"/>
        <w:rPr>
          <w:b/>
          <w:sz w:val="28"/>
        </w:rPr>
      </w:pPr>
      <w:r w:rsidRPr="000C3ED0">
        <w:rPr>
          <w:b/>
          <w:sz w:val="28"/>
        </w:rPr>
        <w:t>Sub-Working Group on Climate Screening Tools, Data and Approaches</w:t>
      </w:r>
    </w:p>
    <w:p w:rsidR="00E53364" w:rsidRDefault="00E53364" w:rsidP="00695FA5"/>
    <w:p w:rsidR="00E53364" w:rsidRDefault="00A31FC0" w:rsidP="00156B32">
      <w:pPr>
        <w:rPr>
          <w:sz w:val="28"/>
        </w:rPr>
      </w:pPr>
      <w:r w:rsidRPr="00695FA5">
        <w:rPr>
          <w:i/>
          <w:sz w:val="28"/>
        </w:rPr>
        <w:t>Draft</w:t>
      </w:r>
      <w:r w:rsidR="00156B32" w:rsidRPr="00695FA5">
        <w:rPr>
          <w:sz w:val="28"/>
        </w:rPr>
        <w:t xml:space="preserve"> Map of Milestones</w:t>
      </w:r>
      <w:r w:rsidR="007E0E0D" w:rsidRPr="00695FA5">
        <w:rPr>
          <w:sz w:val="28"/>
        </w:rPr>
        <w:t>,</w:t>
      </w:r>
      <w:r w:rsidR="00156B32" w:rsidRPr="00695FA5">
        <w:rPr>
          <w:sz w:val="28"/>
        </w:rPr>
        <w:t xml:space="preserve"> by Work Stream</w:t>
      </w:r>
    </w:p>
    <w:p w:rsidR="00F06DDA" w:rsidRPr="00F06DDA" w:rsidRDefault="00F06DDA" w:rsidP="00156B32">
      <w:pPr>
        <w:rPr>
          <w:sz w:val="20"/>
        </w:rPr>
      </w:pPr>
      <w:r w:rsidRPr="00F06DDA">
        <w:rPr>
          <w:sz w:val="20"/>
          <w:highlight w:val="yellow"/>
        </w:rPr>
        <w:t>Points for discussion</w:t>
      </w:r>
      <w:r w:rsidRPr="00F06DDA">
        <w:rPr>
          <w:sz w:val="20"/>
        </w:rPr>
        <w:tab/>
      </w:r>
      <w:r w:rsidRPr="00F06DDA">
        <w:rPr>
          <w:sz w:val="20"/>
          <w:highlight w:val="green"/>
        </w:rPr>
        <w:t>Key drivers of the schedule</w:t>
      </w:r>
    </w:p>
    <w:p w:rsidR="00A31FC0" w:rsidRPr="00A31FC0" w:rsidRDefault="00A31FC0" w:rsidP="00156B32">
      <w:pPr>
        <w:rPr>
          <w:sz w:val="4"/>
        </w:rPr>
      </w:pPr>
    </w:p>
    <w:tbl>
      <w:tblPr>
        <w:tblStyle w:val="PlainTable3"/>
        <w:tblW w:w="0" w:type="auto"/>
        <w:tblLook w:val="04A0" w:firstRow="1" w:lastRow="0" w:firstColumn="1" w:lastColumn="0" w:noHBand="0" w:noVBand="1"/>
      </w:tblPr>
      <w:tblGrid>
        <w:gridCol w:w="1458"/>
        <w:gridCol w:w="7092"/>
        <w:gridCol w:w="2790"/>
        <w:gridCol w:w="2989"/>
      </w:tblGrid>
      <w:tr w:rsidR="00E53364" w:rsidTr="00695FA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58" w:type="dxa"/>
          </w:tcPr>
          <w:p w:rsidR="00E53364" w:rsidRDefault="00A31FC0" w:rsidP="00E53364">
            <w:pPr>
              <w:pStyle w:val="ListParagraph"/>
              <w:ind w:left="0"/>
            </w:pPr>
            <w:r>
              <w:t>milestones</w:t>
            </w:r>
            <w:r w:rsidR="007E0E0D">
              <w:rPr>
                <w:rStyle w:val="FootnoteReference"/>
              </w:rPr>
              <w:footnoteReference w:id="1"/>
            </w:r>
          </w:p>
        </w:tc>
        <w:tc>
          <w:tcPr>
            <w:tcW w:w="7092" w:type="dxa"/>
          </w:tcPr>
          <w:p w:rsidR="00E53364" w:rsidRDefault="007E0E0D" w:rsidP="00B261D3">
            <w:pPr>
              <w:pStyle w:val="ListParagraph"/>
              <w:ind w:left="0"/>
              <w:cnfStyle w:val="100000000000" w:firstRow="1" w:lastRow="0" w:firstColumn="0" w:lastColumn="0" w:oddVBand="0" w:evenVBand="0" w:oddHBand="0" w:evenHBand="0" w:firstRowFirstColumn="0" w:firstRowLastColumn="0" w:lastRowFirstColumn="0" w:lastRowLastColumn="0"/>
            </w:pPr>
            <w:r>
              <w:t xml:space="preserve">Climate risk </w:t>
            </w:r>
            <w:r w:rsidR="00E53364">
              <w:t>screening</w:t>
            </w:r>
          </w:p>
        </w:tc>
        <w:tc>
          <w:tcPr>
            <w:tcW w:w="2790" w:type="dxa"/>
          </w:tcPr>
          <w:p w:rsidR="00E53364" w:rsidRDefault="007E0E0D" w:rsidP="00B261D3">
            <w:pPr>
              <w:pStyle w:val="ListParagraph"/>
              <w:ind w:left="0"/>
              <w:cnfStyle w:val="100000000000" w:firstRow="1" w:lastRow="0" w:firstColumn="0" w:lastColumn="0" w:oddVBand="0" w:evenVBand="0" w:oddHBand="0" w:evenHBand="0" w:firstRowFirstColumn="0" w:firstRowLastColumn="0" w:lastRowFirstColumn="0" w:lastRowLastColumn="0"/>
            </w:pPr>
            <w:r>
              <w:t>Data/</w:t>
            </w:r>
            <w:r w:rsidR="00E53364">
              <w:t>info</w:t>
            </w:r>
          </w:p>
        </w:tc>
        <w:tc>
          <w:tcPr>
            <w:tcW w:w="2989" w:type="dxa"/>
          </w:tcPr>
          <w:p w:rsidR="00E53364" w:rsidRDefault="00E53364" w:rsidP="00B261D3">
            <w:pPr>
              <w:pStyle w:val="ListParagraph"/>
              <w:ind w:left="0"/>
              <w:cnfStyle w:val="100000000000" w:firstRow="1" w:lastRow="0" w:firstColumn="0" w:lastColumn="0" w:oddVBand="0" w:evenVBand="0" w:oddHBand="0" w:evenHBand="0" w:firstRowFirstColumn="0" w:firstRowLastColumn="0" w:lastRowFirstColumn="0" w:lastRowLastColumn="0"/>
            </w:pPr>
            <w:r>
              <w:t>approaches</w:t>
            </w:r>
          </w:p>
        </w:tc>
      </w:tr>
      <w:tr w:rsidR="00A36B6F" w:rsidTr="00695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A36B6F" w:rsidRPr="00A36B6F" w:rsidRDefault="00A36B6F" w:rsidP="00B261D3">
            <w:pPr>
              <w:pStyle w:val="ListParagraph"/>
              <w:ind w:left="0"/>
              <w:rPr>
                <w:sz w:val="20"/>
                <w:szCs w:val="20"/>
              </w:rPr>
            </w:pPr>
            <w:r w:rsidRPr="00A36B6F">
              <w:rPr>
                <w:sz w:val="20"/>
                <w:szCs w:val="20"/>
              </w:rPr>
              <w:t>overarching objective</w:t>
            </w:r>
          </w:p>
        </w:tc>
        <w:tc>
          <w:tcPr>
            <w:tcW w:w="7092" w:type="dxa"/>
          </w:tcPr>
          <w:p w:rsidR="00A36B6F" w:rsidRDefault="00A36B6F" w:rsidP="00A36B6F">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w:t>
            </w:r>
            <w:r w:rsidRPr="00A36B6F">
              <w:rPr>
                <w:sz w:val="20"/>
                <w:szCs w:val="20"/>
              </w:rPr>
              <w:t>evelop</w:t>
            </w:r>
            <w:r>
              <w:rPr>
                <w:sz w:val="20"/>
                <w:szCs w:val="20"/>
              </w:rPr>
              <w:t xml:space="preserve"> </w:t>
            </w:r>
            <w:r w:rsidRPr="00A36B6F">
              <w:rPr>
                <w:sz w:val="20"/>
                <w:szCs w:val="20"/>
              </w:rPr>
              <w:t>guidelines for integrating considerations of climate-change risks and climate resilience into agency strategies, plans, programs, projects, investments, and related funding decisions</w:t>
            </w:r>
            <w:r w:rsidR="00695FA5">
              <w:rPr>
                <w:sz w:val="20"/>
                <w:szCs w:val="20"/>
              </w:rPr>
              <w:t xml:space="preserve">.  </w:t>
            </w:r>
            <w:bookmarkStart w:id="0" w:name="_GoBack"/>
            <w:bookmarkEnd w:id="0"/>
          </w:p>
        </w:tc>
        <w:tc>
          <w:tcPr>
            <w:tcW w:w="2790" w:type="dxa"/>
          </w:tcPr>
          <w:p w:rsidR="00A36B6F" w:rsidRDefault="00A36B6F" w:rsidP="00A36B6F">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w:t>
            </w:r>
            <w:r w:rsidRPr="00A36B6F">
              <w:rPr>
                <w:sz w:val="20"/>
                <w:szCs w:val="20"/>
              </w:rPr>
              <w:t>acilitate the exchange of knowledge, data, information, and lessons learned in assessing climate risks to and incorporating climate-resilience considerations into strategies, planning, programs, projects, investments, and related funding decisions</w:t>
            </w:r>
            <w:r>
              <w:rPr>
                <w:rStyle w:val="FootnoteReference"/>
                <w:sz w:val="20"/>
                <w:szCs w:val="20"/>
              </w:rPr>
              <w:footnoteReference w:id="2"/>
            </w:r>
          </w:p>
        </w:tc>
        <w:tc>
          <w:tcPr>
            <w:tcW w:w="2989" w:type="dxa"/>
          </w:tcPr>
          <w:p w:rsidR="00A36B6F" w:rsidRPr="007C1382" w:rsidRDefault="00A36B6F" w:rsidP="00B261D3">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w:t>
            </w:r>
            <w:r w:rsidRPr="00A36B6F">
              <w:rPr>
                <w:sz w:val="20"/>
                <w:szCs w:val="20"/>
              </w:rPr>
              <w:t>dentify approaches for adjusting strategies, planning, programs, projects, investments, and related funding decisions, including the planning for and management of overseas facilities, to respond to the findi</w:t>
            </w:r>
            <w:r>
              <w:rPr>
                <w:sz w:val="20"/>
                <w:szCs w:val="20"/>
              </w:rPr>
              <w:t>ngs of climate-risk assessments.</w:t>
            </w:r>
            <w:r>
              <w:rPr>
                <w:rStyle w:val="FootnoteReference"/>
                <w:sz w:val="20"/>
                <w:szCs w:val="20"/>
              </w:rPr>
              <w:footnoteReference w:id="3"/>
            </w:r>
          </w:p>
        </w:tc>
      </w:tr>
      <w:tr w:rsidR="00695FA5" w:rsidTr="00695FA5">
        <w:tc>
          <w:tcPr>
            <w:cnfStyle w:val="001000000000" w:firstRow="0" w:lastRow="0" w:firstColumn="1" w:lastColumn="0" w:oddVBand="0" w:evenVBand="0" w:oddHBand="0" w:evenHBand="0" w:firstRowFirstColumn="0" w:firstRowLastColumn="0" w:lastRowFirstColumn="0" w:lastRowLastColumn="0"/>
            <w:tcW w:w="1458" w:type="dxa"/>
            <w:vMerge w:val="restart"/>
          </w:tcPr>
          <w:p w:rsidR="00695FA5" w:rsidRPr="00695FA5" w:rsidRDefault="00695FA5" w:rsidP="00B261D3">
            <w:pPr>
              <w:pStyle w:val="ListParagraph"/>
              <w:ind w:left="0"/>
              <w:rPr>
                <w:b w:val="0"/>
                <w:bCs w:val="0"/>
                <w:i/>
                <w:caps w:val="0"/>
                <w:sz w:val="20"/>
                <w:szCs w:val="20"/>
              </w:rPr>
            </w:pPr>
            <w:r w:rsidRPr="00695FA5">
              <w:rPr>
                <w:b w:val="0"/>
                <w:i/>
                <w:sz w:val="20"/>
                <w:szCs w:val="20"/>
              </w:rPr>
              <w:t>Jan</w:t>
            </w:r>
            <w:r>
              <w:rPr>
                <w:b w:val="0"/>
                <w:i/>
                <w:sz w:val="20"/>
                <w:szCs w:val="20"/>
              </w:rPr>
              <w:t>uary</w:t>
            </w:r>
            <w:r w:rsidRPr="00695FA5">
              <w:rPr>
                <w:b w:val="0"/>
                <w:i/>
                <w:sz w:val="20"/>
                <w:szCs w:val="20"/>
              </w:rPr>
              <w:t xml:space="preserve"> 2015</w:t>
            </w:r>
          </w:p>
        </w:tc>
        <w:tc>
          <w:tcPr>
            <w:tcW w:w="7092" w:type="dxa"/>
          </w:tcPr>
          <w:p w:rsidR="00695FA5" w:rsidRDefault="00695FA5" w:rsidP="00B261D3">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Develop a shared understanding of key terms that guide our work</w:t>
            </w:r>
            <w:r w:rsidR="00F06DDA">
              <w:rPr>
                <w:sz w:val="20"/>
                <w:szCs w:val="20"/>
              </w:rPr>
              <w:t xml:space="preserve"> (e.g. screening, approaches)</w:t>
            </w:r>
          </w:p>
          <w:p w:rsidR="00695FA5" w:rsidRDefault="00695FA5" w:rsidP="00B261D3">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Pr>
          <w:p w:rsidR="007514BC" w:rsidRPr="007514BC" w:rsidRDefault="007514BC" w:rsidP="00B261D3">
            <w:pPr>
              <w:pStyle w:val="ListParagraph"/>
              <w:ind w:left="0"/>
              <w:cnfStyle w:val="000000000000" w:firstRow="0" w:lastRow="0" w:firstColumn="0" w:lastColumn="0" w:oddVBand="0" w:evenVBand="0" w:oddHBand="0" w:evenHBand="0" w:firstRowFirstColumn="0" w:firstRowLastColumn="0" w:lastRowFirstColumn="0" w:lastRowLastColumn="0"/>
              <w:rPr>
                <w:i/>
                <w:sz w:val="20"/>
                <w:szCs w:val="20"/>
              </w:rPr>
            </w:pPr>
            <w:r w:rsidRPr="007514BC">
              <w:rPr>
                <w:i/>
                <w:sz w:val="20"/>
                <w:szCs w:val="20"/>
                <w:highlight w:val="yellow"/>
              </w:rPr>
              <w:t>We did not have adequate time to explore this important topic</w:t>
            </w:r>
            <w:r w:rsidR="00457BC2">
              <w:rPr>
                <w:i/>
                <w:sz w:val="20"/>
                <w:szCs w:val="20"/>
                <w:highlight w:val="yellow"/>
              </w:rPr>
              <w:t>. W</w:t>
            </w:r>
            <w:r w:rsidRPr="007514BC">
              <w:rPr>
                <w:i/>
                <w:sz w:val="20"/>
                <w:szCs w:val="20"/>
                <w:highlight w:val="yellow"/>
              </w:rPr>
              <w:t xml:space="preserve">e agreed to have a smaller, focused call to hear </w:t>
            </w:r>
            <w:r>
              <w:rPr>
                <w:i/>
                <w:sz w:val="20"/>
                <w:szCs w:val="20"/>
                <w:highlight w:val="yellow"/>
              </w:rPr>
              <w:t>the perspective</w:t>
            </w:r>
            <w:r w:rsidR="00457BC2">
              <w:rPr>
                <w:i/>
                <w:sz w:val="20"/>
                <w:szCs w:val="20"/>
                <w:highlight w:val="yellow"/>
              </w:rPr>
              <w:t>s</w:t>
            </w:r>
            <w:r>
              <w:rPr>
                <w:i/>
                <w:sz w:val="20"/>
                <w:szCs w:val="20"/>
                <w:highlight w:val="yellow"/>
              </w:rPr>
              <w:t xml:space="preserve"> of </w:t>
            </w:r>
            <w:r w:rsidRPr="007514BC">
              <w:rPr>
                <w:i/>
                <w:sz w:val="20"/>
                <w:szCs w:val="20"/>
                <w:highlight w:val="yellow"/>
              </w:rPr>
              <w:t>NOAA, USGRP, and NASA.</w:t>
            </w:r>
          </w:p>
          <w:p w:rsidR="007514BC" w:rsidRDefault="007514BC" w:rsidP="00B261D3">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2989" w:type="dxa"/>
          </w:tcPr>
          <w:p w:rsidR="00695FA5" w:rsidRPr="007C1382" w:rsidRDefault="00F06DDA" w:rsidP="00F06DDA">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highlight w:val="yellow"/>
              </w:rPr>
              <w:t xml:space="preserve">Given the amount of work, suggest we focus first </w:t>
            </w:r>
            <w:r w:rsidR="00D86BFA">
              <w:rPr>
                <w:i/>
                <w:sz w:val="20"/>
                <w:szCs w:val="20"/>
                <w:highlight w:val="yellow"/>
              </w:rPr>
              <w:t>on screening,</w:t>
            </w:r>
            <w:r>
              <w:rPr>
                <w:i/>
                <w:sz w:val="20"/>
                <w:szCs w:val="20"/>
                <w:highlight w:val="yellow"/>
              </w:rPr>
              <w:t xml:space="preserve"> make progress, and then turn our attention to approaches, which is a more challenging and important subject</w:t>
            </w:r>
          </w:p>
        </w:tc>
      </w:tr>
      <w:tr w:rsidR="00695FA5" w:rsidTr="00695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tcPr>
          <w:p w:rsidR="00695FA5" w:rsidRPr="007E0E0D" w:rsidRDefault="00695FA5" w:rsidP="00B261D3">
            <w:pPr>
              <w:pStyle w:val="ListParagraph"/>
              <w:ind w:left="0"/>
              <w:rPr>
                <w:b w:val="0"/>
                <w:i/>
                <w:sz w:val="20"/>
                <w:szCs w:val="20"/>
              </w:rPr>
            </w:pPr>
          </w:p>
        </w:tc>
        <w:tc>
          <w:tcPr>
            <w:tcW w:w="7092" w:type="dxa"/>
          </w:tcPr>
          <w:p w:rsidR="00695FA5" w:rsidRPr="00156B32" w:rsidRDefault="00695FA5" w:rsidP="00B261D3">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inventory of USG practices and resources.  This will build on work by the Global Research Program.  If needed, we will r</w:t>
            </w:r>
            <w:r w:rsidRPr="00156B32">
              <w:rPr>
                <w:sz w:val="20"/>
                <w:szCs w:val="20"/>
              </w:rPr>
              <w:t xml:space="preserve">apidly survey current agency practices in:  (a) assessing initial screening </w:t>
            </w:r>
            <w:r>
              <w:rPr>
                <w:sz w:val="20"/>
                <w:szCs w:val="20"/>
              </w:rPr>
              <w:t xml:space="preserve">for climate risk; (b) </w:t>
            </w:r>
            <w:r w:rsidRPr="00156B32">
              <w:rPr>
                <w:sz w:val="20"/>
                <w:szCs w:val="20"/>
              </w:rPr>
              <w:t>deeper assessment</w:t>
            </w:r>
            <w:r>
              <w:rPr>
                <w:sz w:val="20"/>
                <w:szCs w:val="20"/>
              </w:rPr>
              <w:t xml:space="preserve">s and adaptation measures, </w:t>
            </w:r>
            <w:r w:rsidRPr="00156B32">
              <w:rPr>
                <w:sz w:val="20"/>
                <w:szCs w:val="20"/>
              </w:rPr>
              <w:t>where warrante</w:t>
            </w:r>
            <w:r>
              <w:rPr>
                <w:sz w:val="20"/>
                <w:szCs w:val="20"/>
              </w:rPr>
              <w:t>d).</w:t>
            </w:r>
          </w:p>
          <w:p w:rsidR="00695FA5" w:rsidRDefault="00695FA5" w:rsidP="00B261D3">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p w:rsidR="00F06DDA" w:rsidRPr="00156B32" w:rsidRDefault="00F06DDA" w:rsidP="00B261D3">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Pr>
          <w:p w:rsidR="00695FA5" w:rsidRPr="00156B32" w:rsidRDefault="00695FA5" w:rsidP="00695FA5">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Inventory of USG resources</w:t>
            </w:r>
          </w:p>
        </w:tc>
        <w:tc>
          <w:tcPr>
            <w:tcW w:w="2989" w:type="dxa"/>
          </w:tcPr>
          <w:p w:rsidR="00695FA5" w:rsidRDefault="00695FA5" w:rsidP="00B261D3">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7C1382">
              <w:rPr>
                <w:sz w:val="20"/>
                <w:szCs w:val="20"/>
              </w:rPr>
              <w:t>Inventory of USG practices and resources</w:t>
            </w:r>
          </w:p>
          <w:p w:rsidR="00F06DDA" w:rsidRPr="00F06DDA" w:rsidRDefault="00F06DDA" w:rsidP="00B261D3">
            <w:pPr>
              <w:pStyle w:val="ListParagraph"/>
              <w:ind w:left="0"/>
              <w:cnfStyle w:val="000000100000" w:firstRow="0" w:lastRow="0" w:firstColumn="0" w:lastColumn="0" w:oddVBand="0" w:evenVBand="0" w:oddHBand="1" w:evenHBand="0" w:firstRowFirstColumn="0" w:firstRowLastColumn="0" w:lastRowFirstColumn="0" w:lastRowLastColumn="0"/>
              <w:rPr>
                <w:i/>
                <w:sz w:val="20"/>
                <w:szCs w:val="20"/>
              </w:rPr>
            </w:pPr>
            <w:r w:rsidRPr="00F06DDA">
              <w:rPr>
                <w:i/>
                <w:sz w:val="20"/>
                <w:szCs w:val="20"/>
                <w:highlight w:val="yellow"/>
              </w:rPr>
              <w:t>Consider deferring</w:t>
            </w:r>
          </w:p>
        </w:tc>
      </w:tr>
      <w:tr w:rsidR="00695FA5" w:rsidTr="00695FA5">
        <w:tc>
          <w:tcPr>
            <w:cnfStyle w:val="001000000000" w:firstRow="0" w:lastRow="0" w:firstColumn="1" w:lastColumn="0" w:oddVBand="0" w:evenVBand="0" w:oddHBand="0" w:evenHBand="0" w:firstRowFirstColumn="0" w:firstRowLastColumn="0" w:lastRowFirstColumn="0" w:lastRowLastColumn="0"/>
            <w:tcW w:w="1458" w:type="dxa"/>
            <w:vMerge/>
          </w:tcPr>
          <w:p w:rsidR="00695FA5" w:rsidRPr="007E0E0D" w:rsidRDefault="00695FA5" w:rsidP="00B261D3">
            <w:pPr>
              <w:pStyle w:val="ListParagraph"/>
              <w:ind w:left="0"/>
              <w:rPr>
                <w:b w:val="0"/>
                <w:i/>
                <w:sz w:val="20"/>
                <w:szCs w:val="20"/>
              </w:rPr>
            </w:pPr>
          </w:p>
        </w:tc>
        <w:tc>
          <w:tcPr>
            <w:tcW w:w="7092" w:type="dxa"/>
          </w:tcPr>
          <w:p w:rsidR="00695FA5" w:rsidRPr="00156B32" w:rsidRDefault="00695FA5" w:rsidP="00B261D3">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156B32">
              <w:rPr>
                <w:sz w:val="20"/>
                <w:szCs w:val="20"/>
              </w:rPr>
              <w:t>Rapidly identify good international industry practice</w:t>
            </w:r>
            <w:r>
              <w:rPr>
                <w:sz w:val="20"/>
                <w:szCs w:val="20"/>
              </w:rPr>
              <w:t xml:space="preserve"> and lessons learned in the areas described above</w:t>
            </w:r>
            <w:r w:rsidRPr="00156B32">
              <w:rPr>
                <w:sz w:val="20"/>
                <w:szCs w:val="20"/>
              </w:rPr>
              <w:t>.  This would involve:  (a) collaborating with other agencies to share knowledge, data, tools, information, frameworks, and lessons learned and (b) using USG convening power to directly engage the best available expertise</w:t>
            </w:r>
            <w:r>
              <w:rPr>
                <w:sz w:val="20"/>
                <w:szCs w:val="20"/>
              </w:rPr>
              <w:t>, whether it occurs</w:t>
            </w:r>
            <w:r w:rsidRPr="00156B32">
              <w:rPr>
                <w:sz w:val="20"/>
                <w:szCs w:val="20"/>
              </w:rPr>
              <w:t xml:space="preserve"> within the USG (in international, domestic, and science agencies),</w:t>
            </w:r>
            <w:r>
              <w:rPr>
                <w:sz w:val="20"/>
                <w:szCs w:val="20"/>
              </w:rPr>
              <w:t xml:space="preserve"> other donors, the</w:t>
            </w:r>
            <w:r w:rsidRPr="00156B32">
              <w:rPr>
                <w:sz w:val="20"/>
                <w:szCs w:val="20"/>
              </w:rPr>
              <w:t xml:space="preserve"> private sector, </w:t>
            </w:r>
            <w:r>
              <w:rPr>
                <w:sz w:val="20"/>
                <w:szCs w:val="20"/>
              </w:rPr>
              <w:t xml:space="preserve">and/or </w:t>
            </w:r>
            <w:r w:rsidRPr="00156B32">
              <w:rPr>
                <w:sz w:val="20"/>
                <w:szCs w:val="20"/>
              </w:rPr>
              <w:t>non-governmental organizations.</w:t>
            </w:r>
          </w:p>
          <w:p w:rsidR="00695FA5" w:rsidRPr="00156B32" w:rsidRDefault="00695FA5" w:rsidP="00B261D3">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2790" w:type="dxa"/>
          </w:tcPr>
          <w:p w:rsidR="00695FA5" w:rsidRPr="00156B32" w:rsidRDefault="00695FA5" w:rsidP="00A31FC0">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7C1382">
              <w:rPr>
                <w:sz w:val="20"/>
                <w:szCs w:val="20"/>
              </w:rPr>
              <w:t xml:space="preserve">Assess priority data and information gaps, opportunities to address them, and strategies for making information needed to inform </w:t>
            </w:r>
            <w:r>
              <w:rPr>
                <w:sz w:val="20"/>
                <w:szCs w:val="20"/>
              </w:rPr>
              <w:t>development decisions.</w:t>
            </w:r>
          </w:p>
        </w:tc>
        <w:tc>
          <w:tcPr>
            <w:tcW w:w="2989" w:type="dxa"/>
          </w:tcPr>
          <w:p w:rsidR="00695FA5" w:rsidRPr="00156B32" w:rsidRDefault="00695FA5" w:rsidP="00695FA5">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Inventory </w:t>
            </w:r>
            <w:r w:rsidRPr="007C1382">
              <w:rPr>
                <w:sz w:val="20"/>
                <w:szCs w:val="20"/>
              </w:rPr>
              <w:t>guidelines for integrating considerations of climate-change risks and climate resilience across relevant sectors.</w:t>
            </w:r>
          </w:p>
        </w:tc>
      </w:tr>
      <w:tr w:rsidR="00E53364" w:rsidTr="00695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E53364" w:rsidRPr="00156B32" w:rsidRDefault="00156B32" w:rsidP="00695FA5">
            <w:pPr>
              <w:pStyle w:val="ListParagraph"/>
              <w:ind w:left="0"/>
              <w:rPr>
                <w:sz w:val="20"/>
                <w:szCs w:val="20"/>
              </w:rPr>
            </w:pPr>
            <w:r>
              <w:rPr>
                <w:sz w:val="20"/>
                <w:szCs w:val="20"/>
              </w:rPr>
              <w:t xml:space="preserve">February </w:t>
            </w:r>
            <w:r w:rsidR="00E53364" w:rsidRPr="00156B32">
              <w:rPr>
                <w:sz w:val="20"/>
                <w:szCs w:val="20"/>
              </w:rPr>
              <w:t>2015</w:t>
            </w:r>
          </w:p>
        </w:tc>
        <w:tc>
          <w:tcPr>
            <w:tcW w:w="7092" w:type="dxa"/>
          </w:tcPr>
          <w:p w:rsidR="00156B32" w:rsidRDefault="00156B32" w:rsidP="00B261D3">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w:t>
            </w:r>
            <w:r w:rsidR="00E53364" w:rsidRPr="00156B32">
              <w:rPr>
                <w:sz w:val="20"/>
                <w:szCs w:val="20"/>
              </w:rPr>
              <w:t>port</w:t>
            </w:r>
            <w:r>
              <w:rPr>
                <w:sz w:val="20"/>
                <w:szCs w:val="20"/>
              </w:rPr>
              <w:t xml:space="preserve"> to WG </w:t>
            </w:r>
            <w:r w:rsidR="00E53364" w:rsidRPr="00156B32">
              <w:rPr>
                <w:sz w:val="20"/>
                <w:szCs w:val="20"/>
              </w:rPr>
              <w:t xml:space="preserve">on </w:t>
            </w:r>
            <w:r w:rsidR="007E0E0D">
              <w:rPr>
                <w:sz w:val="20"/>
                <w:szCs w:val="20"/>
              </w:rPr>
              <w:t xml:space="preserve">(a) </w:t>
            </w:r>
            <w:r>
              <w:rPr>
                <w:sz w:val="20"/>
                <w:szCs w:val="20"/>
              </w:rPr>
              <w:t>good practice in climate screening</w:t>
            </w:r>
            <w:r w:rsidR="007E0E0D">
              <w:rPr>
                <w:sz w:val="20"/>
                <w:szCs w:val="20"/>
              </w:rPr>
              <w:t xml:space="preserve">; (b) </w:t>
            </w:r>
            <w:r>
              <w:rPr>
                <w:sz w:val="20"/>
                <w:szCs w:val="20"/>
              </w:rPr>
              <w:t xml:space="preserve">currently available </w:t>
            </w:r>
            <w:r w:rsidRPr="00156B32">
              <w:rPr>
                <w:sz w:val="20"/>
                <w:szCs w:val="20"/>
              </w:rPr>
              <w:t xml:space="preserve">screening tools, </w:t>
            </w:r>
            <w:r>
              <w:rPr>
                <w:sz w:val="20"/>
                <w:szCs w:val="20"/>
              </w:rPr>
              <w:t xml:space="preserve">good </w:t>
            </w:r>
            <w:r w:rsidRPr="00156B32">
              <w:rPr>
                <w:sz w:val="20"/>
                <w:szCs w:val="20"/>
              </w:rPr>
              <w:t>approaches and best practices for incorporating climate resilience into agency activities, and initial recommendations.</w:t>
            </w:r>
          </w:p>
          <w:p w:rsidR="00156B32" w:rsidRPr="00156B32" w:rsidRDefault="00156B32" w:rsidP="007E0E0D">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Pr>
          <w:p w:rsidR="00E53364" w:rsidRPr="00156B32" w:rsidRDefault="00E53364" w:rsidP="00B261D3">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2989" w:type="dxa"/>
          </w:tcPr>
          <w:p w:rsidR="00E53364" w:rsidRDefault="007E0E0D" w:rsidP="007E0E0D">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w:t>
            </w:r>
            <w:r w:rsidR="00156B32" w:rsidRPr="00156B32">
              <w:rPr>
                <w:sz w:val="20"/>
                <w:szCs w:val="20"/>
              </w:rPr>
              <w:t xml:space="preserve">eport </w:t>
            </w:r>
            <w:r>
              <w:rPr>
                <w:sz w:val="20"/>
                <w:szCs w:val="20"/>
              </w:rPr>
              <w:t xml:space="preserve"> to WG </w:t>
            </w:r>
            <w:r w:rsidR="00156B32" w:rsidRPr="00156B32">
              <w:rPr>
                <w:sz w:val="20"/>
                <w:szCs w:val="20"/>
              </w:rPr>
              <w:t>on considerations and issues in incorporating climate resilience consid</w:t>
            </w:r>
            <w:r>
              <w:rPr>
                <w:sz w:val="20"/>
                <w:szCs w:val="20"/>
              </w:rPr>
              <w:t>erations into agency activities</w:t>
            </w:r>
          </w:p>
          <w:p w:rsidR="00695FA5" w:rsidRPr="00695FA5" w:rsidRDefault="00F06DDA" w:rsidP="007E0E0D">
            <w:pPr>
              <w:pStyle w:val="ListParagraph"/>
              <w:ind w:left="0"/>
              <w:cnfStyle w:val="000000100000" w:firstRow="0" w:lastRow="0" w:firstColumn="0" w:lastColumn="0" w:oddVBand="0" w:evenVBand="0" w:oddHBand="1" w:evenHBand="0" w:firstRowFirstColumn="0" w:firstRowLastColumn="0" w:lastRowFirstColumn="0" w:lastRowLastColumn="0"/>
              <w:rPr>
                <w:i/>
                <w:sz w:val="20"/>
                <w:szCs w:val="20"/>
              </w:rPr>
            </w:pPr>
            <w:r w:rsidRPr="00F06DDA">
              <w:rPr>
                <w:i/>
                <w:sz w:val="20"/>
                <w:szCs w:val="20"/>
                <w:highlight w:val="yellow"/>
              </w:rPr>
              <w:t>Consider deferring</w:t>
            </w:r>
          </w:p>
        </w:tc>
      </w:tr>
      <w:tr w:rsidR="00156B32" w:rsidTr="00695FA5">
        <w:tc>
          <w:tcPr>
            <w:cnfStyle w:val="001000000000" w:firstRow="0" w:lastRow="0" w:firstColumn="1" w:lastColumn="0" w:oddVBand="0" w:evenVBand="0" w:oddHBand="0" w:evenHBand="0" w:firstRowFirstColumn="0" w:firstRowLastColumn="0" w:lastRowFirstColumn="0" w:lastRowLastColumn="0"/>
            <w:tcW w:w="1458" w:type="dxa"/>
          </w:tcPr>
          <w:p w:rsidR="00156B32" w:rsidRPr="00156B32" w:rsidRDefault="00156B32" w:rsidP="00B261D3">
            <w:pPr>
              <w:pStyle w:val="ListParagraph"/>
              <w:ind w:left="0"/>
              <w:rPr>
                <w:sz w:val="20"/>
                <w:szCs w:val="20"/>
              </w:rPr>
            </w:pPr>
            <w:r w:rsidRPr="00156B32">
              <w:rPr>
                <w:sz w:val="20"/>
                <w:szCs w:val="20"/>
              </w:rPr>
              <w:t>may 2015</w:t>
            </w:r>
          </w:p>
        </w:tc>
        <w:tc>
          <w:tcPr>
            <w:tcW w:w="7092" w:type="dxa"/>
          </w:tcPr>
          <w:p w:rsidR="00156B32" w:rsidRPr="00156B32" w:rsidRDefault="00156B32" w:rsidP="00156B3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156B32">
              <w:rPr>
                <w:sz w:val="20"/>
                <w:szCs w:val="20"/>
              </w:rPr>
              <w:t>Incorporate feedback received from Working Group and provide recommendations to Working Group on:  (1) determining which projects, programs, etc. will be part of the initial pilot and (2) tools, data, support services and information for conducting (a) initial screening of new projects, programs, etc., and (b) in-depth screening of new projects with more significant climate resilience concerns.</w:t>
            </w:r>
          </w:p>
          <w:p w:rsidR="00156B32" w:rsidRPr="00156B32" w:rsidRDefault="00156B32" w:rsidP="00156B32">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156B32">
              <w:rPr>
                <w:sz w:val="20"/>
                <w:szCs w:val="20"/>
              </w:rPr>
              <w:t xml:space="preserve">  </w:t>
            </w:r>
          </w:p>
        </w:tc>
        <w:tc>
          <w:tcPr>
            <w:tcW w:w="2790" w:type="dxa"/>
          </w:tcPr>
          <w:p w:rsidR="00156B32" w:rsidRPr="00156B32" w:rsidRDefault="00156B32" w:rsidP="00B261D3">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2989" w:type="dxa"/>
          </w:tcPr>
          <w:p w:rsidR="00156B32" w:rsidRPr="00156B32" w:rsidRDefault="00156B32" w:rsidP="00B261D3">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tc>
      </w:tr>
      <w:tr w:rsidR="00695FA5" w:rsidTr="00695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695FA5" w:rsidRPr="00457BC2" w:rsidRDefault="00457BC2" w:rsidP="00B261D3">
            <w:pPr>
              <w:pStyle w:val="ListParagraph"/>
              <w:ind w:left="0"/>
              <w:rPr>
                <w:b w:val="0"/>
                <w:i/>
                <w:sz w:val="20"/>
                <w:szCs w:val="20"/>
              </w:rPr>
            </w:pPr>
            <w:r w:rsidRPr="00457BC2">
              <w:rPr>
                <w:b w:val="0"/>
                <w:i/>
                <w:sz w:val="20"/>
                <w:szCs w:val="20"/>
              </w:rPr>
              <w:t>Summer 2015</w:t>
            </w:r>
          </w:p>
        </w:tc>
        <w:tc>
          <w:tcPr>
            <w:tcW w:w="7092" w:type="dxa"/>
          </w:tcPr>
          <w:p w:rsidR="00695FA5" w:rsidRDefault="00457BC2" w:rsidP="00B261D3">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Pilot test screening tools</w:t>
            </w:r>
            <w:r w:rsidR="00F06DDA">
              <w:rPr>
                <w:sz w:val="20"/>
                <w:szCs w:val="20"/>
              </w:rPr>
              <w:t xml:space="preserve"> as part of a staged role out</w:t>
            </w:r>
            <w:r>
              <w:rPr>
                <w:sz w:val="20"/>
                <w:szCs w:val="20"/>
              </w:rPr>
              <w:t>, analyze the experience, form recommendations, and report back to the broader Working Group.</w:t>
            </w:r>
          </w:p>
          <w:p w:rsidR="00457BC2" w:rsidRPr="00156B32" w:rsidRDefault="00457BC2" w:rsidP="00B261D3">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Pr>
          <w:p w:rsidR="00695FA5" w:rsidRPr="00156B32" w:rsidRDefault="00695FA5" w:rsidP="00B261D3">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2989" w:type="dxa"/>
          </w:tcPr>
          <w:p w:rsidR="00695FA5" w:rsidRPr="00156B32" w:rsidRDefault="00695FA5" w:rsidP="00B261D3">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r>
      <w:tr w:rsidR="00A31FC0" w:rsidTr="00695FA5">
        <w:tc>
          <w:tcPr>
            <w:cnfStyle w:val="001000000000" w:firstRow="0" w:lastRow="0" w:firstColumn="1" w:lastColumn="0" w:oddVBand="0" w:evenVBand="0" w:oddHBand="0" w:evenHBand="0" w:firstRowFirstColumn="0" w:firstRowLastColumn="0" w:lastRowFirstColumn="0" w:lastRowLastColumn="0"/>
            <w:tcW w:w="1458" w:type="dxa"/>
          </w:tcPr>
          <w:p w:rsidR="00E53364" w:rsidRPr="00F06DDA" w:rsidRDefault="00156B32" w:rsidP="00B261D3">
            <w:pPr>
              <w:pStyle w:val="ListParagraph"/>
              <w:ind w:left="0"/>
              <w:rPr>
                <w:sz w:val="20"/>
                <w:szCs w:val="20"/>
                <w:highlight w:val="green"/>
              </w:rPr>
            </w:pPr>
            <w:r w:rsidRPr="00F06DDA">
              <w:rPr>
                <w:sz w:val="20"/>
                <w:szCs w:val="20"/>
                <w:highlight w:val="green"/>
              </w:rPr>
              <w:t>October</w:t>
            </w:r>
            <w:r w:rsidR="00E53364" w:rsidRPr="00F06DDA">
              <w:rPr>
                <w:sz w:val="20"/>
                <w:szCs w:val="20"/>
                <w:highlight w:val="green"/>
              </w:rPr>
              <w:t xml:space="preserve"> 2015</w:t>
            </w:r>
          </w:p>
        </w:tc>
        <w:tc>
          <w:tcPr>
            <w:tcW w:w="7092" w:type="dxa"/>
          </w:tcPr>
          <w:p w:rsidR="00E53364" w:rsidRPr="00F06DDA" w:rsidRDefault="00E53364" w:rsidP="00B261D3">
            <w:pPr>
              <w:pStyle w:val="ListParagraph"/>
              <w:ind w:left="0"/>
              <w:cnfStyle w:val="000000000000" w:firstRow="0" w:lastRow="0" w:firstColumn="0" w:lastColumn="0" w:oddVBand="0" w:evenVBand="0" w:oddHBand="0" w:evenHBand="0" w:firstRowFirstColumn="0" w:firstRowLastColumn="0" w:lastRowFirstColumn="0" w:lastRowLastColumn="0"/>
              <w:rPr>
                <w:sz w:val="20"/>
                <w:szCs w:val="20"/>
                <w:highlight w:val="green"/>
              </w:rPr>
            </w:pPr>
            <w:r w:rsidRPr="00F06DDA">
              <w:rPr>
                <w:sz w:val="20"/>
                <w:szCs w:val="20"/>
                <w:highlight w:val="green"/>
              </w:rPr>
              <w:t xml:space="preserve">All new agency investments </w:t>
            </w:r>
            <w:r w:rsidR="00695FA5" w:rsidRPr="00F06DDA">
              <w:rPr>
                <w:sz w:val="20"/>
                <w:szCs w:val="20"/>
                <w:highlight w:val="green"/>
              </w:rPr>
              <w:t xml:space="preserve">/ </w:t>
            </w:r>
            <w:r w:rsidRPr="00F06DDA">
              <w:rPr>
                <w:sz w:val="20"/>
                <w:szCs w:val="20"/>
                <w:highlight w:val="green"/>
              </w:rPr>
              <w:t>funding decisions will be screened for climate risk.  A staged roll-out of screening to</w:t>
            </w:r>
            <w:r w:rsidR="00156B32" w:rsidRPr="00F06DDA">
              <w:rPr>
                <w:sz w:val="20"/>
                <w:szCs w:val="20"/>
                <w:highlight w:val="green"/>
              </w:rPr>
              <w:t>ols may occur prior to October</w:t>
            </w:r>
            <w:r w:rsidRPr="00F06DDA">
              <w:rPr>
                <w:sz w:val="20"/>
                <w:szCs w:val="20"/>
                <w:highlight w:val="green"/>
              </w:rPr>
              <w:t xml:space="preserve"> 2015.</w:t>
            </w:r>
          </w:p>
          <w:p w:rsidR="00156B32" w:rsidRPr="00F06DDA" w:rsidRDefault="00156B32" w:rsidP="00B261D3">
            <w:pPr>
              <w:pStyle w:val="ListParagraph"/>
              <w:ind w:left="0"/>
              <w:cnfStyle w:val="000000000000" w:firstRow="0" w:lastRow="0" w:firstColumn="0" w:lastColumn="0" w:oddVBand="0" w:evenVBand="0" w:oddHBand="0" w:evenHBand="0" w:firstRowFirstColumn="0" w:firstRowLastColumn="0" w:lastRowFirstColumn="0" w:lastRowLastColumn="0"/>
              <w:rPr>
                <w:sz w:val="20"/>
                <w:szCs w:val="20"/>
                <w:highlight w:val="green"/>
              </w:rPr>
            </w:pPr>
          </w:p>
        </w:tc>
        <w:tc>
          <w:tcPr>
            <w:tcW w:w="2790" w:type="dxa"/>
          </w:tcPr>
          <w:p w:rsidR="00E53364" w:rsidRPr="00156B32" w:rsidRDefault="00E53364" w:rsidP="00B261D3">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tc>
        <w:tc>
          <w:tcPr>
            <w:tcW w:w="2989" w:type="dxa"/>
          </w:tcPr>
          <w:p w:rsidR="00E53364" w:rsidRPr="00156B32" w:rsidRDefault="00E53364" w:rsidP="00B261D3">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p>
        </w:tc>
      </w:tr>
      <w:tr w:rsidR="00E53364" w:rsidTr="00695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E53364" w:rsidRPr="00156B32" w:rsidRDefault="00E53364" w:rsidP="00B261D3">
            <w:pPr>
              <w:pStyle w:val="ListParagraph"/>
              <w:ind w:left="0"/>
              <w:rPr>
                <w:sz w:val="20"/>
                <w:szCs w:val="20"/>
              </w:rPr>
            </w:pPr>
            <w:r w:rsidRPr="00156B32">
              <w:rPr>
                <w:sz w:val="20"/>
                <w:szCs w:val="20"/>
              </w:rPr>
              <w:t>November 2015</w:t>
            </w:r>
          </w:p>
        </w:tc>
        <w:tc>
          <w:tcPr>
            <w:tcW w:w="7092" w:type="dxa"/>
          </w:tcPr>
          <w:p w:rsidR="00E53364" w:rsidRDefault="00E53364" w:rsidP="00B261D3">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156B32">
              <w:rPr>
                <w:sz w:val="20"/>
                <w:szCs w:val="20"/>
              </w:rPr>
              <w:t xml:space="preserve">Agencies will have several months of experience in conducting an initial screening of strategies, programs, and projects for climate resilience considerations.  </w:t>
            </w:r>
          </w:p>
          <w:p w:rsidR="008C6F00" w:rsidRPr="00156B32" w:rsidRDefault="008C6F00" w:rsidP="00B261D3">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2790" w:type="dxa"/>
          </w:tcPr>
          <w:p w:rsidR="00E53364" w:rsidRPr="00156B32" w:rsidRDefault="00E53364" w:rsidP="00B261D3">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c>
          <w:tcPr>
            <w:tcW w:w="2989" w:type="dxa"/>
          </w:tcPr>
          <w:p w:rsidR="00E53364" w:rsidRPr="00156B32" w:rsidRDefault="00E53364" w:rsidP="00B261D3">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p>
        </w:tc>
      </w:tr>
      <w:tr w:rsidR="00E53364" w:rsidTr="00695FA5">
        <w:tc>
          <w:tcPr>
            <w:cnfStyle w:val="001000000000" w:firstRow="0" w:lastRow="0" w:firstColumn="1" w:lastColumn="0" w:oddVBand="0" w:evenVBand="0" w:oddHBand="0" w:evenHBand="0" w:firstRowFirstColumn="0" w:firstRowLastColumn="0" w:lastRowFirstColumn="0" w:lastRowLastColumn="0"/>
            <w:tcW w:w="1458" w:type="dxa"/>
          </w:tcPr>
          <w:p w:rsidR="00E53364" w:rsidRDefault="00E53364" w:rsidP="00B261D3">
            <w:pPr>
              <w:pStyle w:val="ListParagraph"/>
              <w:ind w:left="0"/>
            </w:pPr>
          </w:p>
        </w:tc>
        <w:tc>
          <w:tcPr>
            <w:tcW w:w="7092" w:type="dxa"/>
          </w:tcPr>
          <w:p w:rsidR="00E53364" w:rsidRDefault="00E53364" w:rsidP="00B261D3">
            <w:pPr>
              <w:pStyle w:val="ListParagraph"/>
              <w:ind w:left="0"/>
              <w:cnfStyle w:val="000000000000" w:firstRow="0" w:lastRow="0" w:firstColumn="0" w:lastColumn="0" w:oddVBand="0" w:evenVBand="0" w:oddHBand="0" w:evenHBand="0" w:firstRowFirstColumn="0" w:firstRowLastColumn="0" w:lastRowFirstColumn="0" w:lastRowLastColumn="0"/>
            </w:pPr>
          </w:p>
        </w:tc>
        <w:tc>
          <w:tcPr>
            <w:tcW w:w="2790" w:type="dxa"/>
          </w:tcPr>
          <w:p w:rsidR="00E53364" w:rsidRDefault="00E53364" w:rsidP="00B261D3">
            <w:pPr>
              <w:pStyle w:val="ListParagraph"/>
              <w:ind w:left="0"/>
              <w:cnfStyle w:val="000000000000" w:firstRow="0" w:lastRow="0" w:firstColumn="0" w:lastColumn="0" w:oddVBand="0" w:evenVBand="0" w:oddHBand="0" w:evenHBand="0" w:firstRowFirstColumn="0" w:firstRowLastColumn="0" w:lastRowFirstColumn="0" w:lastRowLastColumn="0"/>
            </w:pPr>
          </w:p>
        </w:tc>
        <w:tc>
          <w:tcPr>
            <w:tcW w:w="2989" w:type="dxa"/>
          </w:tcPr>
          <w:p w:rsidR="00E53364" w:rsidRDefault="00E53364" w:rsidP="00B261D3">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E53364" w:rsidRDefault="00E53364" w:rsidP="00886E00"/>
    <w:sectPr w:rsidR="00E53364" w:rsidSect="00A31FC0">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DFC" w:rsidRDefault="00A76DFC" w:rsidP="00A644D8">
      <w:pPr>
        <w:spacing w:after="0" w:line="240" w:lineRule="auto"/>
      </w:pPr>
      <w:r>
        <w:separator/>
      </w:r>
    </w:p>
  </w:endnote>
  <w:endnote w:type="continuationSeparator" w:id="0">
    <w:p w:rsidR="00A76DFC" w:rsidRDefault="00A76DFC" w:rsidP="00A6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190246"/>
      <w:docPartObj>
        <w:docPartGallery w:val="Page Numbers (Bottom of Page)"/>
        <w:docPartUnique/>
      </w:docPartObj>
    </w:sdtPr>
    <w:sdtEndPr/>
    <w:sdtContent>
      <w:sdt>
        <w:sdtPr>
          <w:id w:val="1728636285"/>
          <w:docPartObj>
            <w:docPartGallery w:val="Page Numbers (Top of Page)"/>
            <w:docPartUnique/>
          </w:docPartObj>
        </w:sdtPr>
        <w:sdtEndPr/>
        <w:sdtContent>
          <w:p w:rsidR="00886E00" w:rsidRDefault="00886E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73C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73CA">
              <w:rPr>
                <w:b/>
                <w:bCs/>
                <w:noProof/>
              </w:rPr>
              <w:t>2</w:t>
            </w:r>
            <w:r>
              <w:rPr>
                <w:b/>
                <w:bCs/>
                <w:sz w:val="24"/>
                <w:szCs w:val="24"/>
              </w:rPr>
              <w:fldChar w:fldCharType="end"/>
            </w:r>
          </w:p>
        </w:sdtContent>
      </w:sdt>
    </w:sdtContent>
  </w:sdt>
  <w:p w:rsidR="00886E00" w:rsidRDefault="00886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DFC" w:rsidRDefault="00A76DFC" w:rsidP="00A644D8">
      <w:pPr>
        <w:spacing w:after="0" w:line="240" w:lineRule="auto"/>
      </w:pPr>
      <w:r>
        <w:separator/>
      </w:r>
    </w:p>
  </w:footnote>
  <w:footnote w:type="continuationSeparator" w:id="0">
    <w:p w:rsidR="00A76DFC" w:rsidRDefault="00A76DFC" w:rsidP="00A644D8">
      <w:pPr>
        <w:spacing w:after="0" w:line="240" w:lineRule="auto"/>
      </w:pPr>
      <w:r>
        <w:continuationSeparator/>
      </w:r>
    </w:p>
  </w:footnote>
  <w:footnote w:id="1">
    <w:p w:rsidR="007E0E0D" w:rsidRDefault="007E0E0D">
      <w:pPr>
        <w:pStyle w:val="FootnoteText"/>
      </w:pPr>
      <w:r>
        <w:rPr>
          <w:rStyle w:val="FootnoteReference"/>
        </w:rPr>
        <w:footnoteRef/>
      </w:r>
      <w:r>
        <w:t xml:space="preserve"> </w:t>
      </w:r>
      <w:r w:rsidRPr="00102487">
        <w:rPr>
          <w:b/>
        </w:rPr>
        <w:t xml:space="preserve">Bold </w:t>
      </w:r>
      <w:r w:rsidR="00102487" w:rsidRPr="00102487">
        <w:rPr>
          <w:b/>
        </w:rPr>
        <w:t>milestones</w:t>
      </w:r>
      <w:r w:rsidR="00102487">
        <w:t xml:space="preserve"> </w:t>
      </w:r>
      <w:r>
        <w:t>are listed in the TOR for the overall working group</w:t>
      </w:r>
      <w:r w:rsidR="00102487">
        <w:t xml:space="preserve"> and considered hard deadlines</w:t>
      </w:r>
      <w:r>
        <w:t xml:space="preserve">.  </w:t>
      </w:r>
      <w:r w:rsidRPr="00102487">
        <w:rPr>
          <w:i/>
        </w:rPr>
        <w:t>Italicized dates</w:t>
      </w:r>
      <w:r>
        <w:t xml:space="preserve"> are proposed internal milestones for the</w:t>
      </w:r>
      <w:r w:rsidR="00102487">
        <w:t xml:space="preserve"> sub working group and are </w:t>
      </w:r>
      <w:r>
        <w:t>more flexible</w:t>
      </w:r>
    </w:p>
  </w:footnote>
  <w:footnote w:id="2">
    <w:p w:rsidR="00A36B6F" w:rsidRDefault="00A36B6F">
      <w:pPr>
        <w:pStyle w:val="FootnoteText"/>
      </w:pPr>
      <w:r>
        <w:rPr>
          <w:rStyle w:val="FootnoteReference"/>
        </w:rPr>
        <w:footnoteRef/>
      </w:r>
      <w:r>
        <w:t xml:space="preserve"> Drawn from Executive Order on </w:t>
      </w:r>
      <w:r w:rsidRPr="00A36B6F">
        <w:t>Climate-Resilient International Development</w:t>
      </w:r>
      <w:r>
        <w:t xml:space="preserve"> Section 4(b)(</w:t>
      </w:r>
      <w:proofErr w:type="spellStart"/>
      <w:r>
        <w:t>i</w:t>
      </w:r>
      <w:proofErr w:type="spellEnd"/>
      <w:r>
        <w:t>)(D)</w:t>
      </w:r>
    </w:p>
  </w:footnote>
  <w:footnote w:id="3">
    <w:p w:rsidR="00A36B6F" w:rsidRDefault="00A36B6F">
      <w:pPr>
        <w:pStyle w:val="FootnoteText"/>
      </w:pPr>
      <w:r>
        <w:rPr>
          <w:rStyle w:val="FootnoteReference"/>
        </w:rPr>
        <w:footnoteRef/>
      </w:r>
      <w:r>
        <w:t xml:space="preserve"> Executive Order Section 4(b)(</w:t>
      </w:r>
      <w:proofErr w:type="spellStart"/>
      <w:r>
        <w:t>i</w:t>
      </w:r>
      <w:proofErr w:type="spellEnd"/>
      <w:r>
        <w:t>)(C</w:t>
      </w:r>
      <w:r w:rsidRPr="00A36B6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BC" w:rsidRPr="007514BC" w:rsidRDefault="00F06DDA" w:rsidP="007514BC">
    <w:pPr>
      <w:pStyle w:val="Header"/>
      <w:jc w:val="right"/>
      <w:rPr>
        <w:i/>
        <w:sz w:val="20"/>
      </w:rPr>
    </w:pPr>
    <w:r>
      <w:rPr>
        <w:i/>
        <w:sz w:val="20"/>
      </w:rPr>
      <w:t>December 17</w:t>
    </w:r>
    <w:r w:rsidR="007514BC" w:rsidRPr="007514BC">
      <w:rPr>
        <w:i/>
        <w:sz w:val="20"/>
      </w:rPr>
      <w:t xml:space="preserve">, 2014 </w:t>
    </w:r>
    <w:r>
      <w:rPr>
        <w:i/>
        <w:sz w:val="20"/>
      </w:rPr>
      <w:t>draft for discussion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26E7F"/>
    <w:multiLevelType w:val="hybridMultilevel"/>
    <w:tmpl w:val="A26469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18"/>
    <w:rsid w:val="0002034C"/>
    <w:rsid w:val="000B3380"/>
    <w:rsid w:val="000C3ED0"/>
    <w:rsid w:val="00102487"/>
    <w:rsid w:val="00156B32"/>
    <w:rsid w:val="002D0517"/>
    <w:rsid w:val="002D4318"/>
    <w:rsid w:val="003273CA"/>
    <w:rsid w:val="00431AA7"/>
    <w:rsid w:val="00457BC2"/>
    <w:rsid w:val="00695FA5"/>
    <w:rsid w:val="006D3A77"/>
    <w:rsid w:val="007514BC"/>
    <w:rsid w:val="007866D3"/>
    <w:rsid w:val="007B266C"/>
    <w:rsid w:val="007C1382"/>
    <w:rsid w:val="007E0E0D"/>
    <w:rsid w:val="00886E00"/>
    <w:rsid w:val="008C6F00"/>
    <w:rsid w:val="009B4A57"/>
    <w:rsid w:val="00A31FC0"/>
    <w:rsid w:val="00A36B6F"/>
    <w:rsid w:val="00A45949"/>
    <w:rsid w:val="00A609B9"/>
    <w:rsid w:val="00A644D8"/>
    <w:rsid w:val="00A76DFC"/>
    <w:rsid w:val="00AA3BC2"/>
    <w:rsid w:val="00CC78C8"/>
    <w:rsid w:val="00D457E8"/>
    <w:rsid w:val="00D86BFA"/>
    <w:rsid w:val="00E53364"/>
    <w:rsid w:val="00EB3F76"/>
    <w:rsid w:val="00F0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D2B62-F308-46F1-AE07-5BB40F3A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318"/>
    <w:pPr>
      <w:ind w:left="720"/>
      <w:contextualSpacing/>
    </w:pPr>
  </w:style>
  <w:style w:type="paragraph" w:styleId="NoSpacing">
    <w:name w:val="No Spacing"/>
    <w:uiPriority w:val="1"/>
    <w:qFormat/>
    <w:rsid w:val="000C3ED0"/>
    <w:pPr>
      <w:spacing w:after="0" w:line="240" w:lineRule="auto"/>
    </w:pPr>
  </w:style>
  <w:style w:type="paragraph" w:styleId="FootnoteText">
    <w:name w:val="footnote text"/>
    <w:basedOn w:val="Normal"/>
    <w:link w:val="FootnoteTextChar"/>
    <w:uiPriority w:val="99"/>
    <w:semiHidden/>
    <w:unhideWhenUsed/>
    <w:rsid w:val="00A64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4D8"/>
    <w:rPr>
      <w:sz w:val="20"/>
      <w:szCs w:val="20"/>
    </w:rPr>
  </w:style>
  <w:style w:type="character" w:styleId="FootnoteReference">
    <w:name w:val="footnote reference"/>
    <w:basedOn w:val="DefaultParagraphFont"/>
    <w:uiPriority w:val="99"/>
    <w:semiHidden/>
    <w:unhideWhenUsed/>
    <w:rsid w:val="00A644D8"/>
    <w:rPr>
      <w:vertAlign w:val="superscript"/>
    </w:rPr>
  </w:style>
  <w:style w:type="table" w:styleId="TableGrid">
    <w:name w:val="Table Grid"/>
    <w:basedOn w:val="TableNormal"/>
    <w:uiPriority w:val="59"/>
    <w:rsid w:val="00E5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uiPriority w:val="45"/>
    <w:rsid w:val="00E533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E533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33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886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E00"/>
  </w:style>
  <w:style w:type="paragraph" w:styleId="Footer">
    <w:name w:val="footer"/>
    <w:basedOn w:val="Normal"/>
    <w:link w:val="FooterChar"/>
    <w:uiPriority w:val="99"/>
    <w:unhideWhenUsed/>
    <w:rsid w:val="00886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E00"/>
  </w:style>
  <w:style w:type="paragraph" w:styleId="BalloonText">
    <w:name w:val="Balloon Text"/>
    <w:basedOn w:val="Normal"/>
    <w:link w:val="BalloonTextChar"/>
    <w:uiPriority w:val="99"/>
    <w:semiHidden/>
    <w:unhideWhenUsed/>
    <w:rsid w:val="00A36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B8A84-EE73-4444-9106-D371BEF8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Mason, Douglas J (DCO/IEPS-ESP)</cp:lastModifiedBy>
  <cp:revision>6</cp:revision>
  <cp:lastPrinted>2014-12-16T19:14:00Z</cp:lastPrinted>
  <dcterms:created xsi:type="dcterms:W3CDTF">2014-12-16T22:54:00Z</dcterms:created>
  <dcterms:modified xsi:type="dcterms:W3CDTF">2014-12-17T16:29:00Z</dcterms:modified>
</cp:coreProperties>
</file>